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38. Материальная ответственность работодателя перед работником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236 ТК РФ</w:t>
      </w:r>
    </w:p>
    <w:p>
      <w:pPr>
        <w:spacing w:after="120"/>
        <w:ind w:firstLine="709"/>
      </w:pPr>
      <w:r>
        <w:rPr>
          <w:sz w:val="24"/>
        </w:rPr>
        <w:t xml:space="preserve">- Работник взыскивает проценты за задержку выплаты заработной платы (иных сумм)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236 см. Постановление КС РФ от 15.12.2025 N 44-П.</w:t>
      </w:r>
    </w:p>
    <w:p>
      <w:pPr>
        <w:spacing w:after="120"/>
        <w:ind w:firstLine="709"/>
      </w:pPr>
      <w:r>
        <w:rPr>
          <w:sz w:val="24"/>
        </w:rPr>
        <w:t xml:space="preserve">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30.01.2024 N 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236</dc:title>
  <dc:creator>АРБИТРАЖ! · arbi.ru</dc:creator>
  <cp:lastModifiedBy>АРБИТРАЖ!</cp:lastModifiedBy>
  <dcterms:created xsi:type="dcterms:W3CDTF">2026-10-23T04:38:33.347Z</dcterms:created>
</cp:coreProperties>
</file>