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239 ТК РФ</w:t>
      </w:r>
    </w:p>
    <w:p>
      <w:pPr>
        <w:spacing w:after="120"/>
        <w:ind w:firstLine="709"/>
      </w:pPr>
      <w:r>
        <w:rPr>
          <w:sz w:val="24"/>
        </w:rPr>
        <w:t xml:space="preserve">- Обстоятельства, исключающие материальную ответственность работника</w:t>
      </w:r>
    </w:p>
    <w:p>
      <w:pPr>
        <w:spacing w:after="120"/>
        <w:ind w:firstLine="709"/>
      </w:pPr>
      <w:r>
        <w:rPr>
          <w:sz w:val="24"/>
        </w:rPr>
        <w:t xml:space="preserve">Материальная ответственность работника исключается в случаях возникновения ущерба вследствие непреодолимой силы, нормального хозяйственного риска , крайней необходимости или необходимой обороны либо неисполнения работодателем обязанности по обеспечению надлежащих условий для хранения имущества, вверенного работнику.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239</dc:title>
  <dc:creator>АРБИТРАЖ! · arbi.ru</dc:creator>
  <cp:lastModifiedBy>АРБИТРАЖ!</cp:lastModifiedBy>
  <dcterms:created xsi:type="dcterms:W3CDTF">2026-10-23T07:42:19.604Z</dcterms:created>
</cp:coreProperties>
</file>