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240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39. Материальная ответственность работника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240 ТК РФ</w:t>
      </w:r>
    </w:p>
    <w:p>
      <w:pPr>
        <w:spacing w:after="120"/>
        <w:ind w:firstLine="709"/>
      </w:pPr>
      <w:r>
        <w:rPr>
          <w:sz w:val="24"/>
        </w:rPr>
        <w:t xml:space="preserve">- Право работодателя на отказ от взыскания ущерба с работника</w:t>
      </w:r>
    </w:p>
    <w:p>
      <w:pPr>
        <w:spacing w:after="120"/>
        <w:ind w:firstLine="709"/>
      </w:pPr>
      <w:r>
        <w:rPr>
          <w:sz w:val="24"/>
        </w:rPr>
        <w:t xml:space="preserve">Работодатель имеет право с учетом конкретных обстоятельств, при которых был причинен ущерб, полностью или частично отказаться от его взыскания с виновного работника. Собственник имущества организации может ограничить указанное право работодателя в случаях, предусмотренных 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местного самоуправления, учредительными документами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240</dc:title>
  <dc:creator>АРБИТРАЖ! · arbi.ru</dc:creator>
  <cp:lastModifiedBy>АРБИТРАЖ!</cp:lastModifiedBy>
  <dcterms:created xsi:type="dcterms:W3CDTF">2026-10-23T08:36:51.250Z</dcterms:created>
</cp:coreProperties>
</file>