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241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39. Материальная ответственность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241 ТК РФ</w:t>
      </w:r>
    </w:p>
    <w:p>
      <w:pPr>
        <w:spacing w:after="120"/>
        <w:ind w:firstLine="709"/>
      </w:pPr>
      <w:r>
        <w:rPr>
          <w:sz w:val="24"/>
        </w:rPr>
        <w:t xml:space="preserve">- Ограниченная материальная ответственность работника</w:t>
      </w:r>
    </w:p>
    <w:p>
      <w:pPr>
        <w:spacing w:after="120"/>
        <w:ind w:firstLine="709"/>
      </w:pPr>
      <w:r>
        <w:rPr>
          <w:sz w:val="24"/>
        </w:rPr>
        <w:t xml:space="preserve">За причиненный ущерб работник несет материальную ответственность в пределах своего среднего месячного заработка , если иное не предусмотрено настоящим Кодексом или иными федеральными законами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241</dc:title>
  <dc:creator>АРБИТРАЖ! · arbi.ru</dc:creator>
  <cp:lastModifiedBy>АРБИТРАЖ!</cp:lastModifiedBy>
  <dcterms:created xsi:type="dcterms:W3CDTF">2026-10-23T09:30:34.042Z</dcterms:created>
</cp:coreProperties>
</file>