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242 ТК РФ</w:t>
      </w:r>
    </w:p>
    <w:p>
      <w:pPr>
        <w:spacing w:after="120"/>
        <w:ind w:firstLine="709"/>
      </w:pPr>
      <w:r>
        <w:rPr>
          <w:sz w:val="24"/>
        </w:rPr>
        <w:t xml:space="preserve">- Как привлечь работника к полной материальной ответственности</w:t>
      </w:r>
    </w:p>
    <w:p>
      <w:pPr>
        <w:spacing w:after="120"/>
        <w:ind w:firstLine="709"/>
      </w:pPr>
      <w:r>
        <w:rPr>
          <w:sz w:val="24"/>
        </w:rPr>
        <w:t xml:space="preserve">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Материальная ответственность в полном размере причиненного ущерба может возлагаться на работника лишь в случаях, предусмотренных настоящим Кодексом или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Работники в возрасте до восемнадцати лет несут полную материальную ответственность лишь за умышленное причинение ущерба, за ущерб, причиненный в состоянии алкогольного, наркотического или иного токсического опьянения, а также за ущерб, причиненный в результате совершения преступления или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27.11.2017 N 359-ФЗ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242</dc:title>
  <dc:creator>АРБИТРАЖ! · arbi.ru</dc:creator>
  <cp:lastModifiedBy>АРБИТРАЖ!</cp:lastModifiedBy>
  <dcterms:created xsi:type="dcterms:W3CDTF">2026-10-23T10:35:01.844Z</dcterms:created>
</cp:coreProperties>
</file>