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244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39. Материальная ответственность работника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244 ТК РФ</w:t>
      </w:r>
    </w:p>
    <w:p>
      <w:pPr>
        <w:spacing w:after="120"/>
        <w:ind w:firstLine="709"/>
      </w:pPr>
      <w:r>
        <w:rPr>
          <w:sz w:val="24"/>
        </w:rPr>
        <w:t xml:space="preserve">- Кто может быть материально-ответственным лицом</w:t>
      </w:r>
    </w:p>
    <w:p>
      <w:pPr>
        <w:spacing w:after="120"/>
        <w:ind w:firstLine="709"/>
      </w:pPr>
      <w:r>
        <w:rPr>
          <w:sz w:val="24"/>
        </w:rPr>
        <w:t xml:space="preserve">- Как заключить договор о полной индивидуальной материальной ответственности</w:t>
      </w:r>
    </w:p>
    <w:p>
      <w:pPr>
        <w:spacing w:after="120"/>
        <w:ind w:firstLine="709"/>
      </w:pPr>
      <w:r>
        <w:rPr>
          <w:sz w:val="24"/>
        </w:rPr>
        <w:t xml:space="preserve">Письменные договоры о полной индивидуальной или коллективной (бригадной) материальной ответственности ( пункт 2 части первой статьи 243 настоящего Кодекса), то есть о возмещении работодателю причиненного ущерба в полном размере за недостачу вверенного работникам имущества, могут заключаться с работниками, достигшими возраста восемнадцати лет и непосредственно обслуживающими или использующими денежные, товарные ценности или иное имущество.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Перечни работ и категорий работников, с которыми могут заключаться указанные договоры, а также типовые формы указанных договоров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труда, с учетом мнения Российской трехсторонней комиссии по регулированию социально-трудовых отношений.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07.06.2025 N 144-ФЗ)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244</dc:title>
  <dc:creator>АРБИТРАЖ! · arbi.ru</dc:creator>
  <cp:lastModifiedBy>АРБИТРАЖ!</cp:lastModifiedBy>
  <dcterms:created xsi:type="dcterms:W3CDTF">2026-10-23T12:31:53.087Z</dcterms:created>
</cp:coreProperties>
</file>