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246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39. Материальная ответственность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246 ТК РФ</w:t>
      </w:r>
    </w:p>
    <w:p>
      <w:pPr>
        <w:spacing w:after="120"/>
        <w:ind w:firstLine="709"/>
      </w:pPr>
      <w:r>
        <w:rPr>
          <w:sz w:val="24"/>
        </w:rPr>
        <w:t xml:space="preserve">- Установление размера причиненного работником ущерба</w:t>
      </w:r>
    </w:p>
    <w:p>
      <w:pPr>
        <w:spacing w:after="120"/>
        <w:ind w:firstLine="709"/>
      </w:pPr>
      <w:r>
        <w:rPr>
          <w:sz w:val="24"/>
        </w:rPr>
        <w:t xml:space="preserve">Размер ущерба, причиненного работодателю при утрате и порче имущества, определяется по фактическим потерям, исчисляемым исходя из рыночных цен, действующих в данной местности на день причинения ущерба, но не ниже стоимости имущества по данным бухгалтерского учета с учетом степени износа этого имущества.</w:t>
      </w:r>
    </w:p>
    <w:p>
      <w:pPr>
        <w:spacing w:after="120"/>
        <w:ind w:firstLine="709"/>
      </w:pPr>
      <w:r>
        <w:rPr>
          <w:sz w:val="24"/>
        </w:rPr>
        <w:t xml:space="preserve">Федеральным законом может быть установлен особый порядок определения размера подлежащего возмещению ущерба, причиненного работодателю хищением, умышленной порчей, недостачей или утратой отдельных видов имущества и других ценностей, а также в тех случаях, когда фактический размер причиненного ущерба превышает его номинальный размер.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246</dc:title>
  <dc:creator>АРБИТРАЖ! · arbi.ru</dc:creator>
  <cp:lastModifiedBy>АРБИТРАЖ!</cp:lastModifiedBy>
  <dcterms:created xsi:type="dcterms:W3CDTF">2026-10-23T14:32:16.096Z</dcterms:created>
</cp:coreProperties>
</file>