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247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39. Материальная ответственность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247 ТК РФ</w:t>
      </w:r>
    </w:p>
    <w:p>
      <w:pPr>
        <w:spacing w:after="120"/>
        <w:ind w:firstLine="709"/>
      </w:pPr>
      <w:r>
        <w:rPr>
          <w:sz w:val="24"/>
        </w:rPr>
        <w:t xml:space="preserve">- Проведение проверки для установления размера причиненного работником ущерба</w:t>
      </w:r>
    </w:p>
    <w:p>
      <w:pPr>
        <w:spacing w:after="120"/>
        <w:ind w:firstLine="709"/>
      </w:pPr>
      <w:r>
        <w:rPr>
          <w:sz w:val="24"/>
        </w:rPr>
        <w:t xml:space="preserve">- Проведение служебного расследования для установления причин возникновения ущерба</w:t>
      </w:r>
    </w:p>
    <w:p>
      <w:pPr>
        <w:spacing w:after="120"/>
        <w:ind w:firstLine="709"/>
      </w:pPr>
      <w:r>
        <w:rPr>
          <w:sz w:val="24"/>
        </w:rPr>
        <w:t xml:space="preserve">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возникновения. Для проведения такой проверки работодатель имеет право создать комиссию с участием соответствующих специалистов.</w:t>
      </w:r>
    </w:p>
    <w:p>
      <w:pPr>
        <w:spacing w:after="120"/>
        <w:ind w:firstLine="709"/>
      </w:pPr>
      <w:r>
        <w:rPr>
          <w:sz w:val="24"/>
        </w:rPr>
        <w:t xml:space="preserve">Истребование от работника письменного объяснения для установления причины возникновения ущерба является обязательным. В случае отказа или уклонения работника от предоставления указанного объяснения составляется соответствующий акт.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 и (или) его представитель имеют право знакомиться со всеми материалами проверки и обжаловать их в порядке, установленном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247</dc:title>
  <dc:creator>АРБИТРАЖ! · arbi.ru</dc:creator>
  <cp:lastModifiedBy>АРБИТРАЖ!</cp:lastModifiedBy>
  <dcterms:created xsi:type="dcterms:W3CDTF">2026-10-23T15:36:16.776Z</dcterms:created>
</cp:coreProperties>
</file>