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252</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40. Общие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Особенности регулирования труда в связи с характером и условиями труда, психофизиологическими особенностями организма, природно-климатическими условиями, наличием семейных обязанностей, а также других оснований устанавливаются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При этом особенности регулирования труда, влекущие за собой снижение уровня гарантий работникам, ограничение их прав, повышение их дисциплинарной и (или) материальной ответственности, могут устанавливаться исключительно настоящим Кодексом либо в случаях и порядке, им предусмотренных.</w:t>
      </w:r>
    </w:p>
    <w:p>
      <w:pPr>
        <w:spacing w:after="120"/>
        <w:ind w:firstLine="709"/>
      </w:pPr>
      <w:r>
        <w:rPr>
          <w:sz w:val="24"/>
        </w:rPr>
        <w:t xml:space="preserve">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том числе порядок и условия привлечения к работе за пределами установленной продолжительности рабочего времени, в ночное время, выходные и нерабочие праздничные дни, предоставления ежегодных оплачиваемых отпусков.</w:t>
      </w:r>
    </w:p>
    <w:p>
      <w:pPr>
        <w:spacing w:after="120"/>
        <w:ind w:firstLine="709"/>
      </w:pPr>
      <w:r>
        <w:rPr>
          <w:sz w:val="24"/>
        </w:rPr>
        <w:t xml:space="preserve">(часть вторая введена Федеральным законом от 14.07.2022 N 273-ФЗ)</w:t>
      </w:r>
    </w:p>
    <w:p>
      <w:pPr>
        <w:spacing w:after="120"/>
        <w:ind w:firstLine="709"/>
      </w:pPr>
      <w:r>
        <w:rPr>
          <w:sz w:val="24"/>
        </w:rPr>
        <w:t xml:space="preserve">В случае катастрофы природного или техногенного характера, производственной аварии,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в том числе создающих угрозу массового высвобождения работников и влекущих необходимость принятия оперативных мер по обеспечению функционирования организаций и трудоустройства работников, Правительство Российской Федерации вправе устанавливать с учетом мнения Российской трехсторонней комиссии по регулированию социально-трудовых отношений особенности правового регулирования трудовых отношений и иных непосредственно связанных с ними отношений (включая временный перевод работников от одного работодателя к другому работодателю), срок действия которых составляет не более одного года с возможностью ежегодного продления этого срока (при необходимости).</w:t>
      </w:r>
    </w:p>
    <w:p>
      <w:pPr>
        <w:spacing w:after="120"/>
        <w:ind w:firstLine="709"/>
      </w:pPr>
      <w:r>
        <w:rPr>
          <w:sz w:val="24"/>
        </w:rPr>
        <w:t xml:space="preserve">(часть третья введена Федеральным законом от 13.12.2024 N 470-ФЗ)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252</dc:title>
  <dc:creator>АРБИТРАЖ! · arbi.ru</dc:creator>
  <cp:lastModifiedBy>АРБИТРАЖ!</cp:lastModifiedBy>
  <dcterms:created xsi:type="dcterms:W3CDTF">2026-10-23T19:20:22.413Z</dcterms:created>
</cp:coreProperties>
</file>