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Беременным женщинам в соответствии 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работе.</w:t>
      </w:r>
    </w:p>
    <w:p>
      <w:pPr>
        <w:spacing w:after="120"/>
        <w:ind w:firstLine="709"/>
      </w:pPr>
      <w:r>
        <w:rPr>
          <w:sz w:val="24"/>
        </w:rPr>
        <w:t xml:space="preserve">До предоставления беременной женщине другой работы, исключающей воздействие неблагоприятных производственных факторов, она подлежит освобождению от работы с сохранением среднего заработка за все пропущенные вследствие этого рабочие дни за счет средств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Женщины, имеющие детей в возрасте до полутора лет, в случае невозможности выполнения прежней работы переводятся по их заявлению на другую работу с оплатой труда по выполняемой работе, но не ниже среднего заработка по прежней работе до достижения ребенком возраста полутора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254</dc:title>
  <dc:creator>АРБИТРАЖ! · arbi.ru</dc:creator>
  <cp:lastModifiedBy>АРБИТРАЖ!</cp:lastModifiedBy>
  <dcterms:created xsi:type="dcterms:W3CDTF">2026-10-23T17:09:58.006Z</dcterms:created>
</cp:coreProperties>
</file>