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262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Дополнительные выходные дни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работника за прогул, если он самовольно использовал дополнительные выходные для ухода за ребенком-инвалидом</w:t>
      </w:r>
    </w:p>
    <w:p>
      <w:pPr>
        <w:spacing w:after="120"/>
        <w:ind w:firstLine="709"/>
      </w:pPr>
      <w:r>
        <w:rPr>
          <w:sz w:val="24"/>
        </w:rPr>
        <w:t xml:space="preserve">Одному из родителей (опекуну, попечителю) для ухода за детьми-инвалидами по его письменному заявлению предоставляются четыре дополнительных оплачиваемых выходных дня в месяц, которые могут быть использованы одним из указанных лиц либо разделены ими между собой по их усмотрению.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дней, право на получение которых имеет один из родителей (опекун, попечитель) в данном календарном году.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работодателем. Оплата каждого дополнительного выходного дня производится в размере среднего заработка и порядке, который устанавливается федеральными законами . Порядок предоставления указанных дополнительных оплачиваемых выходных дней устанавливается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262</dc:title>
  <dc:creator>АРБИТРАЖ! · arbi.ru</dc:creator>
  <cp:lastModifiedBy>АРБИТРАЖ!</cp:lastModifiedBy>
  <dcterms:created xsi:type="dcterms:W3CDTF">2026-10-23T17:53:12.644Z</dcterms:created>
</cp:coreProperties>
</file>