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263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41. Особенности регулирования труда женщин, лиц с семейными обязанностями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19.11.2021 N 373-ФЗ)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Готовые решения. Вопросы применения ст. 263 ТК РФ</w:t>
      </w:r>
    </w:p>
    <w:p>
      <w:pPr>
        <w:spacing w:after="120"/>
        <w:ind w:firstLine="709"/>
      </w:pPr>
      <w:r>
        <w:rPr>
          <w:sz w:val="24"/>
        </w:rPr>
        <w:t xml:space="preserve">- Имеет ли женщина с детьми право на отпуск без сохранения зарплаты в удобное для нее время, и если да, то в каких случаях</w:t>
      </w:r>
    </w:p>
    <w:p>
      <w:pPr>
        <w:spacing w:after="120"/>
        <w:ind w:firstLine="709"/>
      </w:pPr>
      <w:r>
        <w:rPr>
          <w:sz w:val="24"/>
        </w:rPr>
        <w:t xml:space="preserve">Работнику, имеющему двух или более детей в возрасте до четырнадцати лет, работнику, имеющему ребенка-инвалида в возрасте до восемнадцати лет, одинокой матери, воспитывающей ребенка в возрасте до четырнадцати лет, отцу, воспитывающему ребенка в возрасте до четырнадцати лет без матери, работнику, осуществляющему уход за членом семьи или иным родственником, являющимися инвалидами I группы, коллективным договором могут устанавливаться ежегодные дополнительные отпуска без сохранения заработной платы в удобное для них время продолжительностью до 14 календарных дней. Указанный отпуск по письменному заявлению работника может быть присоединен к ежегодному оплачиваемому отпуску или использован отдельно полностью либо по частям. Перенесение этого отпуска на следующий рабочий год не допускается.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30.06.2006 N 90-ФЗ , от 19.11.2021 N 373-ФЗ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263</dc:title>
  <dc:creator>АРБИТРАЖ! · arbi.ru</dc:creator>
  <cp:lastModifiedBy>АРБИТРАЖ!</cp:lastModifiedBy>
  <dcterms:created xsi:type="dcterms:W3CDTF">2026-10-23T14:32:06.734Z</dcterms:created>
</cp:coreProperties>
</file>