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267 ТК РФ</w:t>
      </w:r>
    </w:p>
    <w:p>
      <w:pPr>
        <w:spacing w:after="120"/>
        <w:ind w:firstLine="709"/>
      </w:pPr>
      <w:r>
        <w:rPr>
          <w:sz w:val="24"/>
        </w:rPr>
        <w:t xml:space="preserve">- Каковы особенности предоставления отпуска несовершеннолетним работникам</w:t>
      </w:r>
    </w:p>
    <w:p>
      <w:pPr>
        <w:spacing w:after="120"/>
        <w:ind w:firstLine="709"/>
      </w:pPr>
      <w:r>
        <w:rPr>
          <w:sz w:val="24"/>
        </w:rPr>
        <w:t xml:space="preserve">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267</dc:title>
  <dc:creator>АРБИТРАЖ! · arbi.ru</dc:creator>
  <cp:lastModifiedBy>АРБИТРАЖ!</cp:lastModifiedBy>
  <dcterms:created xsi:type="dcterms:W3CDTF">2026-10-23T07:48:08.572Z</dcterms:created>
</cp:coreProperties>
</file>