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07.04.2025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лет, за исключением случаев, предусмотренных частями второй 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привлекать работника в возрасте от четырнадцати до восемнадцати лет к работе в выходные и нерабочие праздничные дни, выполняемой в период летних каникул по направлению органов службы занятости населения или в составе студенческих отрядов, включенных в федеральный или региональный реестр молодежных и детских объединений, пользующихся государственной поддержкой,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в случае, если работник достиг возраста пятнадцати лет, с письменного согласия работника;</w:t>
      </w:r>
    </w:p>
    <w:p>
      <w:pPr>
        <w:spacing w:after="120"/>
        <w:ind w:firstLine="709"/>
      </w:pPr>
      <w:r>
        <w:rPr>
          <w:sz w:val="24"/>
        </w:rPr>
        <w:t xml:space="preserve">2) в случае, если работник не достиг возраста пятнадцати лет, с письменного согласия работника и одного из его родителей (попечителя);</w:t>
      </w:r>
    </w:p>
    <w:p>
      <w:pPr>
        <w:spacing w:after="120"/>
        <w:ind w:firstLine="709"/>
      </w:pPr>
      <w:r>
        <w:rPr>
          <w:sz w:val="24"/>
        </w:rPr>
        <w:t xml:space="preserve">3) в отношении несовершеннолетнего лица, указанного в части четвертой статьи 63 настоящего Кодекса, с письменного согласия работника и органа опеки и попечительства или иного законного представителя несовершеннолетнего лица.</w:t>
      </w:r>
    </w:p>
    <w:p>
      <w:pPr>
        <w:spacing w:after="120"/>
        <w:ind w:firstLine="709"/>
      </w:pPr>
      <w:r>
        <w:rPr>
          <w:sz w:val="24"/>
        </w:rPr>
        <w:t xml:space="preserve">Установленный частью первой настоящей статьи запрет не распространяется на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268</dc:title>
  <dc:creator>АРБИТРАЖ! · arbi.ru</dc:creator>
  <cp:lastModifiedBy>АРБИТРАЖ!</cp:lastModifiedBy>
  <dcterms:created xsi:type="dcterms:W3CDTF">2026-10-23T06:34:55.987Z</dcterms:created>
</cp:coreProperties>
</file>