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270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42. Особенности регулирования труда работников в возрасте до восемнадцати лет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Для работников в возрасте до восемнадцати лет нормы выработки устанавливаются исходя из общих норм выработки пропорционально установленной для этих работников сокращенной продолжительности рабочего времени.</w:t>
      </w:r>
    </w:p>
    <w:p>
      <w:pPr>
        <w:spacing w:after="120"/>
        <w:ind w:firstLine="709"/>
      </w:pPr>
      <w:r>
        <w:rPr>
          <w:sz w:val="24"/>
        </w:rPr>
        <w:t xml:space="preserve">Для работников в возрасте до восемнадцати лет, поступающих на работу после получения общего образования или среднего профессионального образования, а также прошедших профессиональное обучение на производстве, в соответствии с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актами, трудовым договором могут устанавливаться пониженные нормы выработки.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30.06.2006 N 90-ФЗ , от 02.07.2013 N 185-ФЗ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270</dc:title>
  <dc:creator>АРБИТРАЖ! · arbi.ru</dc:creator>
  <cp:lastModifiedBy>АРБИТРАЖ!</cp:lastModifiedBy>
  <dcterms:created xsi:type="dcterms:W3CDTF">2026-10-23T04:37:55.152Z</dcterms:created>
</cp:coreProperties>
</file>