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274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43. Особенности регулирования труда руководителя организации и членов коллегиального исполнительного органа организации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274 ТК РФ</w:t>
      </w:r>
    </w:p>
    <w:p>
      <w:pPr>
        <w:spacing w:after="120"/>
        <w:ind w:firstLine="709"/>
      </w:pPr>
      <w:r>
        <w:rPr>
          <w:sz w:val="24"/>
        </w:rPr>
        <w:t xml:space="preserve">- Что нужно знать об особенностях правового статуса руководителя организации</w:t>
      </w:r>
    </w:p>
    <w:p>
      <w:pPr>
        <w:spacing w:after="120"/>
        <w:ind w:firstLine="709"/>
      </w:pPr>
      <w:r>
        <w:rPr>
          <w:sz w:val="24"/>
        </w:rPr>
        <w:t xml:space="preserve">Права и обязанности руководителя организации в области трудовых отношений определяются настоящим Кодексом, другими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местного самоуправления, учредительными документами организации, локальными нормативными актами,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274</dc:title>
  <dc:creator>АРБИТРАЖ! · arbi.ru</dc:creator>
  <cp:lastModifiedBy>АРБИТРАЖ!</cp:lastModifiedBy>
  <dcterms:created xsi:type="dcterms:W3CDTF">2026-10-23T00:18:50.773Z</dcterms:created>
</cp:coreProperties>
</file>