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277 ТК РФ</w:t>
      </w:r>
    </w:p>
    <w:p>
      <w:pPr>
        <w:spacing w:after="120"/>
        <w:ind w:firstLine="709"/>
      </w:pPr>
      <w:r>
        <w:rPr>
          <w:sz w:val="24"/>
        </w:rPr>
        <w:t xml:space="preserve">- Материальная ответственность руководителя организации</w:t>
      </w:r>
    </w:p>
    <w:p>
      <w:pPr>
        <w:spacing w:after="120"/>
        <w:ind w:firstLine="709"/>
      </w:pPr>
      <w:r>
        <w:rPr>
          <w:sz w:val="24"/>
        </w:rPr>
        <w:t xml:space="preserve">Руководитель организации несет полную материальную ответственность за прямой действительный ущерб , причиненный организации.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федеральными законами , руководитель организации возмещает организации убытки, причиненные его виновными действиями. При этом расчет убытков осуществляется в соответствии с нормами, предусмотренными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277</dc:title>
  <dc:creator>АРБИТРАЖ! · arbi.ru</dc:creator>
  <cp:lastModifiedBy>АРБИТРАЖ!</cp:lastModifiedBy>
  <dcterms:created xsi:type="dcterms:W3CDTF">2026-10-22T15:06:10.672Z</dcterms:created>
</cp:coreProperties>
</file>