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281 см. Постановление КС РФ от 16.10.2018 N 37-П.</w:t>
      </w:r>
    </w:p>
    <w:p>
      <w:pPr>
        <w:spacing w:after="120"/>
        <w:ind w:firstLine="709"/>
      </w:pPr>
      <w:r>
        <w:rPr>
          <w:sz w:val="24"/>
        </w:rPr>
        <w:t xml:space="preserve">Федеральными законами , учредительными документами организации на членов коллегиального исполнительного органа организации, заключивших трудовой договор, могут распространяться особенности регулирования труда, установленные настоящей главой для руководителя организации.</w:t>
      </w:r>
    </w:p>
    <w:p>
      <w:pPr>
        <w:spacing w:after="120"/>
        <w:ind w:firstLine="709"/>
      </w:pPr>
      <w:r>
        <w:rPr>
          <w:sz w:val="24"/>
        </w:rPr>
        <w:t xml:space="preserve">Федеральными законами могут устанавливаться другие особенности регулирования труда руководителей организаций и членов коллегиальных исполнительных органов этих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281</dc:title>
  <dc:creator>АРБИТРАЖ! · arbi.ru</dc:creator>
  <cp:lastModifiedBy>АРБИТРАЖ!</cp:lastModifiedBy>
  <dcterms:created xsi:type="dcterms:W3CDTF">2026-10-23T00:12:29.066Z</dcterms:created>
</cp:coreProperties>
</file>