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44. Особенности регулирования труда лиц, работающих по совместительству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Оплата труда лиц, работающих по совместительству, производится пропорционально отработанному времени, в зависимости от выработки либо на других условиях, определенных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лицам, работающим по совместительству с повременной оплатой труда, нормированных заданий оплата труда производится по конечным результатам за фактически выполненный объем работ.</w:t>
      </w:r>
    </w:p>
    <w:p>
      <w:pPr>
        <w:spacing w:after="120"/>
        <w:ind w:firstLine="709"/>
      </w:pPr>
      <w:r>
        <w:rPr>
          <w:sz w:val="24"/>
        </w:rPr>
        <w:t xml:space="preserve">Лицам, работающим по совместительству в районах, где установлены районные коэффициенты и надбавки к заработной плате, оплата труда производится с учетом этих коэффициентов и надбавок.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285</dc:title>
  <dc:creator>АРБИТРАЖ! · arbi.ru</dc:creator>
  <cp:lastModifiedBy>АРБИТРАЖ!</cp:lastModifiedBy>
  <dcterms:created xsi:type="dcterms:W3CDTF">2026-10-23T04:38:31.322Z</dcterms:created>
</cp:coreProperties>
</file>