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45. Особенности регулирования труда работников, заключивших трудовой договор на срок до двух месяцев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Работники, заключившие трудовой договор на срок до двух месяцев, могут быть в пределах этого срока привлечены с их письменного согласия к работе в выходные и нерабочие праздничные дни .</w:t>
      </w:r>
    </w:p>
    <w:p>
      <w:pPr>
        <w:spacing w:after="120"/>
        <w:ind w:firstLine="709"/>
      </w:pPr>
      <w:r>
        <w:rPr>
          <w:sz w:val="24"/>
        </w:rPr>
        <w:t xml:space="preserve">Работа в выходные и нерабочие праздничные дни компенсируется в денежной форме не менее чем в двойном размере.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290</dc:title>
  <dc:creator>АРБИТРАЖ! · arbi.ru</dc:creator>
  <cp:lastModifiedBy>АРБИТРАЖ!</cp:lastModifiedBy>
  <dcterms:created xsi:type="dcterms:W3CDTF">2026-10-23T09:51:39.571Z</dcterms:created>
</cp:coreProperties>
</file>