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Особенности регулирования труда работников, занятых на сезонных работах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Условие о сезонном характере работы должно быть указано в трудовом договоре.</w:t>
      </w:r>
    </w:p>
    <w:p>
      <w:pPr>
        <w:spacing w:after="120"/>
        <w:ind w:firstLine="709"/>
      </w:pPr>
      <w:r>
        <w:rPr>
          <w:sz w:val="24"/>
        </w:rPr>
        <w:t xml:space="preserve">Часть вторая утратила силу. - Федеральный закон от 30.06.2006 N 90-ФЗ.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294</dc:title>
  <dc:creator>АРБИТРАЖ! · arbi.ru</dc:creator>
  <cp:lastModifiedBy>АРБИТРАЖ!</cp:lastModifiedBy>
  <dcterms:created xsi:type="dcterms:W3CDTF">2026-10-23T14:31:35.794Z</dcterms:created>
</cp:coreProperties>
</file>