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296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46. Особенности регулирования труда работников, занятых на сезонных работах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Работник, занятый на сезонных работах, обязан в письменной форме предупредить работодателя о досрочном расторжении трудового договора за три календарных дня.</w:t>
      </w:r>
    </w:p>
    <w:p>
      <w:pPr>
        <w:spacing w:after="120"/>
        <w:ind w:firstLine="709"/>
      </w:pPr>
      <w:r>
        <w:rPr>
          <w:sz w:val="24"/>
        </w:rPr>
        <w:t xml:space="preserve">Работодатель обязан предупредить работника, занятого на сезонных работах, о предстоящем увольнении в связи с ликвидацией организации, сокращением численности или штата работников организации в письменной форме под роспись не менее чем за семь календарных дней.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прекращении трудового договора с работником, занятым на сезонных работах, в связи с ликвидацией организации, сокращением численности или штата работников организации выходное пособие выплачивается в размере двухнедельного среднего заработка 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296</dc:title>
  <dc:creator>АРБИТРАЖ! · arbi.ru</dc:creator>
  <cp:lastModifiedBy>АРБИТРАЖ!</cp:lastModifiedBy>
  <dcterms:created xsi:type="dcterms:W3CDTF">2026-10-23T16:38:23.814Z</dcterms:created>
</cp:coreProperties>
</file>