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299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47. Особенности регулирования труда лиц, работающих вахтовым методом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Вахтой считается общий период, включающий время выполнения работ на объекте и время междусменного отдыха.</w:t>
      </w:r>
    </w:p>
    <w:p>
      <w:pPr>
        <w:spacing w:after="120"/>
        <w:ind w:firstLine="709"/>
      </w:pPr>
      <w:r>
        <w:rPr>
          <w:sz w:val="24"/>
        </w:rPr>
        <w:t xml:space="preserve">Продолжительность вахты не должна превышать одного месяца. В исключительных случаях на отдельных объектах продолжительность вахты может быть увеличена работодателем до трех месяцев с учетом мнения выборного органа первичной профсоюзной организации в порядке, установленном статьей 372 настоящего Кодекса для принятия локальных нормативных актов.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299</dc:title>
  <dc:creator>АРБИТРАЖ! · arbi.ru</dc:creator>
  <cp:lastModifiedBy>АРБИТРАЖ!</cp:lastModifiedBy>
  <dcterms:created xsi:type="dcterms:W3CDTF">2026-10-23T19:50:29.320Z</dcterms:created>
</cp:coreProperties>
</file>