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47. Особенности регулирования труда лиц, работающих вахтовым методом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300 ТК РФ</w:t>
      </w:r>
    </w:p>
    <w:p>
      <w:pPr>
        <w:spacing w:after="120"/>
        <w:ind w:firstLine="709"/>
      </w:pPr>
      <w:r>
        <w:rPr>
          <w:sz w:val="24"/>
        </w:rPr>
        <w:t xml:space="preserve">- Особенности учета рабочего времени при вахтовом методе работы</w:t>
      </w:r>
    </w:p>
    <w:p>
      <w:pPr>
        <w:spacing w:after="120"/>
        <w:ind w:firstLine="709"/>
      </w:pPr>
      <w:r>
        <w:rPr>
          <w:sz w:val="24"/>
        </w:rPr>
        <w:t xml:space="preserve">При вахтовом методе работы устанавливается суммированный учет рабочего времени за месяц, квартал или иной более длительный период, но не более чем за один год.</w:t>
      </w:r>
    </w:p>
    <w:p>
      <w:pPr>
        <w:spacing w:after="120"/>
        <w:ind w:firstLine="709"/>
      </w:pPr>
      <w:r>
        <w:rPr>
          <w:sz w:val="24"/>
        </w:rPr>
        <w:t xml:space="preserve">Учетный период охватывает все рабочее время, время в пути от места нахождения работодателя или от пункта сбора до места выполнения работы и обратно, а также время отдыха, приходящееся на данный календарный отрезок времени.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вести учет рабочего времени и времени отдыха каждого работника, работающего вахтовым методом, по месяцам и за весь учетный период.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300</dc:title>
  <dc:creator>АРБИТРАЖ! · arbi.ru</dc:creator>
  <cp:lastModifiedBy>АРБИТРАЖ!</cp:lastModifiedBy>
  <dcterms:created xsi:type="dcterms:W3CDTF">2026-10-23T20:47:16.227Z</dcterms:created>
</cp:coreProperties>
</file>