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304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48. Особенности регулирования труда работников, работающих у работодателей - физических лиц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По соглашению сторон трудовой договор между работником и работодателем - физическим лицом, не являющимся индивидуальным предпринимателем, может заключаться как на неопределенный, так и на определенный срок.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304</dc:title>
  <dc:creator>АРБИТРАЖ! · arbi.ru</dc:creator>
  <cp:lastModifiedBy>АРБИТРАЖ!</cp:lastModifiedBy>
  <dcterms:created xsi:type="dcterms:W3CDTF">2026-10-24T00:19:25.110Z</dcterms:created>
</cp:coreProperties>
</file>