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311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49. Особенности регулирования труда надомников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311 ТК РФ</w:t>
      </w:r>
    </w:p>
    <w:p>
      <w:pPr>
        <w:spacing w:after="120"/>
        <w:ind w:firstLine="709"/>
      </w:pPr>
      <w:r>
        <w:rPr>
          <w:sz w:val="24"/>
        </w:rPr>
        <w:t xml:space="preserve">- Условия применения надомного труда</w:t>
      </w:r>
    </w:p>
    <w:p>
      <w:pPr>
        <w:spacing w:after="120"/>
        <w:ind w:firstLine="709"/>
      </w:pPr>
      <w:r>
        <w:rPr>
          <w:sz w:val="24"/>
        </w:rPr>
        <w:t xml:space="preserve">Работы, поручаемые надомникам, не могут быть противопоказаны им по состоянию здоровья и должны выполняться в условиях, соответствующих требованиям охраны труда.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311</dc:title>
  <dc:creator>АРБИТРАЖ! · arbi.ru</dc:creator>
  <cp:lastModifiedBy>АРБИТРАЖ!</cp:lastModifiedBy>
  <dcterms:created xsi:type="dcterms:W3CDTF">2026-10-24T01:53:23.989Z</dcterms:created>
</cp:coreProperties>
</file>