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 Особенности регулирования труда надомников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312 ТК РФ</w:t>
      </w:r>
    </w:p>
    <w:p>
      <w:pPr>
        <w:spacing w:after="120"/>
        <w:ind w:firstLine="709"/>
      </w:pPr>
      <w:r>
        <w:rPr>
          <w:sz w:val="24"/>
        </w:rPr>
        <w:t xml:space="preserve">- Расторжение трудового договора с надомником</w:t>
      </w:r>
    </w:p>
    <w:p>
      <w:pPr>
        <w:spacing w:after="120"/>
        <w:ind w:firstLine="709"/>
      </w:pPr>
      <w:r>
        <w:rPr>
          <w:sz w:val="24"/>
        </w:rPr>
        <w:t xml:space="preserve">Расторжение трудового договора с надомниками производится по основаниям, предусмотренным трудовым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312</dc:title>
  <dc:creator>АРБИТРАЖ! · arbi.ru</dc:creator>
  <cp:lastModifiedBy>АРБИТРАЖ!</cp:lastModifiedBy>
  <dcterms:created xsi:type="dcterms:W3CDTF">2026-10-24T01:09:38.830Z</dcterms:created>
</cp:coreProperties>
</file>