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Выполнение работником трудовой функции дистанционно не может являться основанием для снижения ему заработной 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312.5</dc:title>
  <dc:creator>АРБИТРАЖ! · arbi.ru</dc:creator>
  <cp:lastModifiedBy>АРБИТРАЖ!</cp:lastModifiedBy>
  <dcterms:created xsi:type="dcterms:W3CDTF">2026-10-24T03:41:11.204Z</dcterms:created>
</cp:coreProperties>
</file>