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50.1. Особенности регулирования труда работников, являющихся иностранными гражданами или лицами без гражданства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 трудовые отношения между работником, являющимся иностранным гражданином или лицом без гражданства, и работодателем распространяются правила, установленные трудовым законодательством и иными актами, содержащими нормы трудового права, за исключением случаев, в которых в соответствии с федеральными законами или международными договорами Российской Федерации трудовые отношения с работниками, являющимися иностранными гражданами или лицами без гражданства, регулируются иностранным правом.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работников, являющихся иностранными гражданами или лицами без гражданства, если в соответствии со статьей 252 настоящего Кодекса такие особенности могут устанавливаться исключительно настоящим Кодексом, а также случаи и порядок установления таких особенностей другими актами, содержащими нормы трудового права, определяются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федеральными законами,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лет.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между иностранным гражданином или лицом без гражданства и работодателем не может быть заключен, если в соответствии с федеральными законами или международными договорами Российской Федерации работодатель не вправе привлекать к трудовой деятельности работников, являющихся иностранными гражданами или лицами без гражданства.</w:t>
      </w:r>
    </w:p>
    <w:p>
      <w:pPr>
        <w:spacing w:after="120"/>
        <w:ind w:firstLine="709"/>
      </w:pPr>
      <w:r>
        <w:rPr>
          <w:sz w:val="24"/>
        </w:rPr>
        <w:t xml:space="preserve">Между работником, являющимся иностранным гражданином или лицом без гражданства, и работодателем заключается трудовой договор на неопределенный срок, а в случаях, предусмотренных статьей 59 настоящего Кодекса, - срочный трудовой договор.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327.1</dc:title>
  <dc:creator>АРБИТРАЖ! · arbi.ru</dc:creator>
  <cp:lastModifiedBy>АРБИТРАЖ!</cp:lastModifiedBy>
  <dcterms:created xsi:type="dcterms:W3CDTF">2026-10-24T10:30:35.929Z</dcterms:created>
</cp:coreProperties>
</file>