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51. Особенности регулирования труда работников транспорта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329 ТК РФ</w:t>
      </w:r>
    </w:p>
    <w:p>
      <w:pPr>
        <w:spacing w:after="120"/>
        <w:ind w:firstLine="709"/>
      </w:pPr>
      <w:r>
        <w:rPr>
          <w:sz w:val="24"/>
        </w:rPr>
        <w:t xml:space="preserve">- Особенности режима труда водителей</w:t>
      </w:r>
    </w:p>
    <w:p>
      <w:pPr>
        <w:spacing w:after="120"/>
        <w:ind w:firstLine="709"/>
      </w:pPr>
      <w:r>
        <w:rPr>
          <w:sz w:val="24"/>
        </w:rPr>
        <w:t xml:space="preserve">- Особенности режима отдыха водителей</w:t>
      </w:r>
    </w:p>
    <w:p>
      <w:pPr>
        <w:spacing w:after="120"/>
        <w:ind w:firstLine="709"/>
      </w:pPr>
      <w:r>
        <w:rPr>
          <w:sz w:val="24"/>
        </w:rPr>
        <w:t xml:space="preserve">Работникам, труд которых непосредственно связан с управлением транспортными средствами или управлением движением транспортных средств, не разрешается работа по совместительству, непосредственно связанная с управлением транспортными средствами или управлением движением транспортных средств. Перечень работ, профессий, должностей, непосредственно связанных с управлением транспортными средствами или управлением движением транспортных средств, утверждается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Особенности режима рабочего времени и времени отдыха, условий труда отдельных категорий работников, труд которых непосредственно связан с движением транспортных средств,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транспорта, с учетом мнения соответствующих общероссийского профсоюза и общероссийского объединения работодателей. Эти особенности не могут ухудшать положение работников по сравнению с установленными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22.08.2004 N 122-ФЗ , от 30.06.2006 N 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329</dc:title>
  <dc:creator>АРБИТРАЖ! · arbi.ru</dc:creator>
  <cp:lastModifiedBy>АРБИТРАЖ!</cp:lastModifiedBy>
  <dcterms:created xsi:type="dcterms:W3CDTF">2026-10-24T20:14:16.095Z</dcterms:created>
</cp:coreProperties>
</file>