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329.1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 Особенности регулирования труда работников транспорта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25.05.2026 N 144-ФЗ)</w:t>
      </w:r>
    </w:p>
    <w:p>
      <w:pPr>
        <w:spacing w:after="120"/>
        <w:ind w:firstLine="709"/>
      </w:pPr>
      <w:r>
        <w:rPr>
          <w:sz w:val="24"/>
        </w:rPr>
        <w:t xml:space="preserve">Для отдельных категорий работников, труд которых непосредственно связан с движением железнодорожных транспортных средств или управлением такими средствами и для которых установлен суммированный учет рабочего времени, в случаях, если продолжительность ежедневной работы (смены) и (или) время ее начала и (или) окончания заранее не могут быть определены, часы сверхурочной работы, определенные по окончании учетного периода, оплачиваются исходя из величины сверхурочного времени, приходящегося на день (смену) учетного периода, в котором осуществлялась сверхурочная работа: за первые два часа работы - не менее чем в полуторном размере, за последующие часы - не менее чем в двойном размере, начиная со 121-го часа - не менее чем в двойном размере за каждый час.</w:t>
      </w:r>
    </w:p>
    <w:p>
      <w:pPr>
        <w:spacing w:after="120"/>
        <w:ind w:firstLine="709"/>
      </w:pPr>
      <w:r>
        <w:rPr>
          <w:sz w:val="24"/>
        </w:rPr>
        <w:t xml:space="preserve">Перечень категорий работников, указанных в части первой настоящей статьи,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транспорта,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труда, с учетом мнения соответствующих общероссийского профсоюза и общероссийского объединения работодателей.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329.1</dc:title>
  <dc:creator>АРБИТРАЖ! · arbi.ru</dc:creator>
  <cp:lastModifiedBy>АРБИТРАЖ!</cp:lastModifiedBy>
  <dcterms:created xsi:type="dcterms:W3CDTF">2026-10-24T21:21:20.686Z</dcterms:created>
</cp:coreProperties>
</file>