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 Особенности регулирования труда педагогических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334 ТК РФ</w:t>
      </w:r>
    </w:p>
    <w:p>
      <w:pPr>
        <w:spacing w:after="120"/>
        <w:ind w:firstLine="709"/>
      </w:pPr>
      <w:r>
        <w:rPr>
          <w:sz w:val="24"/>
        </w:rPr>
        <w:t xml:space="preserve">- Какова продолжительность ежегодного основного отпуска педагогических работников</w:t>
      </w:r>
    </w:p>
    <w:p>
      <w:pPr>
        <w:spacing w:after="120"/>
        <w:ind w:firstLine="709"/>
      </w:pPr>
      <w:r>
        <w:rPr>
          <w:sz w:val="24"/>
        </w:rPr>
        <w:t xml:space="preserve">Педагогическим работникам предоставляется ежегодный основной удлиненный оплачиваемый отпуск, продолжительность которого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334</dc:title>
  <dc:creator>АРБИТРАЖ! · arbi.ru</dc:creator>
  <cp:lastModifiedBy>АРБИТРАЖ!</cp:lastModifiedBy>
  <dcterms:created xsi:type="dcterms:W3CDTF">2026-10-24T17:17:06.792Z</dcterms:created>
</cp:coreProperties>
</file>