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341.4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53.1. Особенности регулирования труда работников, направляемых временно работодателем к другим физическим лицам или юридическим лицам по договору о предоставлении труда работников (персонала)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Несчастный случай, происшедший с работником, направленным временно для выполнения работы у принимающей стороны по договору о предоставлении труда работников (персонала) и участвовавшим в производственной деятельности принимающей стороны, расследуется комиссией, образованной принимающей стороной. В состав комиссии входит представитель работодателя, направившего этого работника. Неприбытие или несвоевременное прибытие указанного представителя не является основанием для изменения сроков расследования ( часть пятая статьи 229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341.4</dc:title>
  <dc:creator>АРБИТРАЖ! · arbi.ru</dc:creator>
  <cp:lastModifiedBy>АРБИТРАЖ!</cp:lastModifiedBy>
  <dcterms:created xsi:type="dcterms:W3CDTF">2026-10-24T03:43:12.269Z</dcterms:created>
</cp:coreProperties>
</file>