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 Особенности регулирования труда работников религиозных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Права и обязанности сторон трудового договора определяются в трудовом договоре с учетом особенностей, установленных внутренними установлениями религиозной организации, которые не должны противоречить Конституции Российской Федерации, настоящему Кодексу и иным федеральным законам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343</dc:title>
  <dc:creator>АРБИТРАЖ! · arbi.ru</dc:creator>
  <cp:lastModifiedBy>АРБИТРАЖ!</cp:lastModifiedBy>
  <dcterms:created xsi:type="dcterms:W3CDTF">2026-10-24T01:10:04.083Z</dcterms:created>
</cp:coreProperties>
</file>