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Трудовой договор между работником и религиозной организацией может заключаться на определенный срок без учета ограничения численности работников организации, установленного абзацем двенадцатым части второй статьи 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работник обязуется выполнять любую не запрещенную настоящим Кодексом или иным федеральным законом работу, определенную этим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трудовой договор в соответствии с настоящим Кодексом и внутренними установлениями религиозной организации включаются условия, существенные для работника и для религиозной организации как работодателя.</w:t>
      </w:r>
    </w:p>
    <w:p>
      <w:pPr>
        <w:spacing w:after="120"/>
        <w:ind w:firstLine="709"/>
      </w:pPr>
      <w:r>
        <w:rPr>
          <w:sz w:val="24"/>
        </w:rPr>
        <w:t xml:space="preserve">При необходимости изменения определенных сторонами условий трудового договора религиозная организация обязана предупредить об этом работника в письменной форме не менее чем за семь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344</dc:title>
  <dc:creator>АРБИТРАЖ! · arbi.ru</dc:creator>
  <cp:lastModifiedBy>АРБИТРАЖ!</cp:lastModifiedBy>
  <dcterms:created xsi:type="dcterms:W3CDTF">2026-10-24T00:20:15.849Z</dcterms:created>
</cp:coreProperties>
</file>