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ТК РФ, ст. 348.9</w:t>
      </w:r>
    </w:p>
    <w:p>
      <w:pPr>
        <w:spacing w:after="120"/>
        <w:ind w:firstLine="709"/>
      </w:pPr>
      <w:r>
        <w:rPr>
          <w:sz w:val="24"/>
        </w:rPr>
        <w:t xml:space="preserve">Акт: Трудовой кодекс Российской Федерации № 197-ФЗ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https://www.consultant.ru/document/cons_doc_LAW_34683/</w:t>
      </w:r>
    </w:p>
    <w:p>
      <w:pPr>
        <w:spacing w:after="120"/>
        <w:ind w:firstLine="709"/>
      </w:pPr>
      <w:r>
        <w:rPr>
          <w:sz w:val="24"/>
        </w:rPr>
        <w:t xml:space="preserve">Раздел: Глава 54.1. Особенности регулирования труда спортсменов и тренеров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Путеводитель по кадровым вопросам. Вопросы применения ст. 348.9 ТК РФ</w:t>
      </w:r>
    </w:p>
    <w:p>
      <w:pPr>
        <w:spacing w:after="120"/>
        <w:ind w:firstLine="709"/>
      </w:pPr>
      <w:r>
        <w:rPr>
          <w:sz w:val="24"/>
        </w:rPr>
        <w:t xml:space="preserve">- Особенности регулирования труда женщин-спортсменов</w:t>
      </w:r>
    </w:p>
    <w:p>
      <w:pPr>
        <w:spacing w:after="120"/>
        <w:ind w:firstLine="709"/>
      </w:pPr>
      <w:r>
        <w:rPr>
          <w:sz w:val="24"/>
        </w:rPr>
        <w:t xml:space="preserve">Во время участия в спортивных мероприятиях допускается превышение женщиной-спортсменом предельно допустимых норм нагрузок при подъеме и перемещении тяжестей вручную, установленных в соответствии с настоящим Кодексом , если это необходимо в соответствии с планом подготовки женщины-спортсмена к спортивным соревнованиям и применяемые нагрузки не запрещены ей по состоянию здоровья в соответствии с медицинским заключением.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ТК РФ, ст. 348.9</dc:title>
  <dc:creator>АРБИТРАЖ! · arbi.ru</dc:creator>
  <cp:lastModifiedBy>АРБИТРАЖ!</cp:lastModifiedBy>
  <dcterms:created xsi:type="dcterms:W3CDTF">2026-10-23T09:52:19.885Z</dcterms:created>
</cp:coreProperties>
</file>