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348.13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246-ФЗ)</w:t>
      </w:r>
    </w:p>
    <w:p>
      <w:pPr>
        <w:spacing w:after="120"/>
        <w:ind w:firstLine="709"/>
      </w:pPr>
      <w:r>
        <w:rPr>
          <w:sz w:val="24"/>
        </w:rPr>
        <w:t xml:space="preserve">Индивидуальные трудовые споры спортсменов, тренеров в профессиональном спорте и спорте высших достижений (далее - индивидуальные трудовые споры спортсменов, тренеров) рассматриваются комиссиями по трудовым спорам и судами, а также могут быть переданы по арбитражному соглашению между работодателем и спортсменом, тренером в арбитраж (третейское разбирательство), администрируемый постоянно действующим арбитражным учреждением, образованным в соответствии с законодательством Российской Федерации об арбитраже (третейском разбирательстве) и с особенностями, установленными законодательством о физической культуре и спорте.</w:t>
      </w:r>
    </w:p>
    <w:p>
      <w:pPr>
        <w:spacing w:after="120"/>
        <w:ind w:firstLine="709"/>
      </w:pPr>
      <w:r>
        <w:rPr>
          <w:sz w:val="24"/>
        </w:rPr>
        <w:t xml:space="preserve">Индивидуальные трудовые споры спортсменов, тренеров передаются на рассмотрение в арбитраж (третейское разбирательство), администрируемый постоянно действующим арбитражным учреждением, указанным в части первой настоящей статьи, при наличии между работодателем и спортсменом или тренером арбитражного соглашения о передаче в арбитраж (третейское разбирательство) индивидуальных трудовых споров, которые возникли или могут возникнуть между сторонами трудового договора. Данное арбитражное соглашение может быть заключено работодателем и спортсменом или тренером в письменной форме одновременно с заключением ими трудового договора, в период действия указанного трудового договора, а также при возникновении индивидуальных трудовых споров спортсменов, тренеров в любое время до принятия судом первой инстанции судебного постановления, которым заканчивается рассмотрение дела по существу. При этом до заключения арбитражного соглашения спортсмены, тренеры должны быть ознакомлены под роспись с правилами арбитража (третейского разбирательства), в который предполагается передача их индивидуальных трудовых споров, включая порядок оплаты расходов, связанных с разрешением указанных споров.</w:t>
      </w:r>
    </w:p>
    <w:p>
      <w:pPr>
        <w:spacing w:after="120"/>
        <w:ind w:firstLine="709"/>
      </w:pPr>
      <w:r>
        <w:rPr>
          <w:sz w:val="24"/>
        </w:rPr>
        <w:t xml:space="preserve">В арбитраже (третейском разбирательстве), администрируемом постоянно действующим арбитражным учреждением, указанным в части первой настоящей статьи, рассматриваются индивидуальные трудовые споры спортсменов, тренеров по исковому заявлению работодателя, спортсмена, тренера либо профессионального союза, представляющего интересы спортсмена или тренера.</w:t>
      </w:r>
    </w:p>
    <w:p>
      <w:pPr>
        <w:spacing w:after="120"/>
        <w:ind w:firstLine="709"/>
      </w:pPr>
      <w:r>
        <w:rPr>
          <w:sz w:val="24"/>
        </w:rPr>
        <w:t xml:space="preserve">Правила арбитража (третейского разбирательства) индивидуальных трудовых споров спортсменов, тренеров утверждаются некоммерческой организацией, при которой создано постоянно действующее арбитражное учреждение, администрирующее арбитраж (третейское разбирательство) споров в профессиональном спорте и спорте высших достижений, по согласованию с профессиональным союзом, объединяющим работников физической культуры и спорта и являющимся стороной отраслевого соглашения, заключенного с федеральным органом исполнительной власти в области физической культуры и спорта.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348.13</dc:title>
  <dc:creator>АРБИТРАЖ! · arbi.ru</dc:creator>
  <cp:lastModifiedBy>АРБИТРАЖ!</cp:lastModifiedBy>
  <dcterms:created xsi:type="dcterms:W3CDTF">2026-10-23T05:34:03.128Z</dcterms:created>
</cp:coreProperties>
</file>