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349.5</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55. Особенности регулирования труда других категорий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347-ФЗ)</w:t>
      </w:r>
    </w:p>
    <w:p>
      <w:pPr>
        <w:spacing w:after="120"/>
        <w:ind w:firstLine="709"/>
      </w:pPr>
      <w:r>
        <w:rPr>
          <w:sz w:val="24"/>
        </w:rPr>
        <w:t xml:space="preserve">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w:t>
      </w:r>
    </w:p>
    <w:p>
      <w:pPr>
        <w:spacing w:after="120"/>
        <w:ind w:firstLine="709"/>
      </w:pPr>
      <w:r>
        <w:rPr>
          <w:sz w:val="24"/>
        </w:rPr>
        <w:t xml:space="preserve">Информация, предусмотренная частью первой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части первой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pPr>
        <w:spacing w:after="120"/>
        <w:ind w:firstLine="709"/>
      </w:pPr>
      <w:r>
        <w:rPr>
          <w:sz w:val="24"/>
        </w:rPr>
        <w:t xml:space="preserve">В составе размещаемой на официальных сайтах информации, предусмотренной частью первой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части первой настоящей статьи, а также сведения, отнесенные к государственной тайне или сведениям конфиденциального характера.</w:t>
      </w:r>
    </w:p>
    <w:p>
      <w:pPr>
        <w:spacing w:after="120"/>
        <w:ind w:firstLine="709"/>
      </w:pPr>
      <w:r>
        <w:rPr>
          <w:sz w:val="24"/>
        </w:rPr>
        <w:t xml:space="preserve">Порядок размещения информации о рассчитываемой за календарный год среднемесячной заработной плате лиц, указанных в части первой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349.5</dc:title>
  <dc:creator>АРБИТРАЖ! · arbi.ru</dc:creator>
  <cp:lastModifiedBy>АРБИТРАЖ!</cp:lastModifiedBy>
  <dcterms:created xsi:type="dcterms:W3CDTF">2026-10-23T00:18:49.770Z</dcterms:created>
</cp:coreProperties>
</file>