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351.3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55. Особенности регулирования труда других категорий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настоящей статьи устанавливают особенности регулирования трудовых отношений с экспертами в сфере проведения специальной оценки условий труда, под которыми понимаются работники, прошедшие аттестацию на право выполнения работ по специальной оценке условий труда и имеющие сертификат эксперта на право выполнения работ по специальной оценке условий труда.</w:t>
      </w:r>
    </w:p>
    <w:p>
      <w:pPr>
        <w:spacing w:after="120"/>
        <w:ind w:firstLine="709"/>
      </w:pPr>
      <w:r>
        <w:rPr>
          <w:sz w:val="24"/>
        </w:rPr>
        <w:t xml:space="preserve">Порядок аттестации и особенности регулирования труда указанной категории работников устанавливаются законодательством о специальной оценке условий труда.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351.3</dc:title>
  <dc:creator>АРБИТРАЖ! · arbi.ru</dc:creator>
  <cp:lastModifiedBy>АРБИТРАЖ!</cp:lastModifiedBy>
  <dcterms:created xsi:type="dcterms:W3CDTF">2026-10-23T06:36:13.265Z</dcterms:created>
</cp:coreProperties>
</file>