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Деятельность федеральной инспекции труда и ее должностных лиц осуществляется на основе принципов уважения, соблюдения и защиты прав и свобод человека и гражданина, законности, объективности, независимости и гласности.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Основными задачами федеральной инспекции труда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обеспечение соблюдения и защиты трудовых прав и свобод граждан, включая право на безопасные условия труда;</w:t>
      </w:r>
    </w:p>
    <w:p>
      <w:pPr>
        <w:spacing w:after="120"/>
        <w:ind w:firstLine="709"/>
      </w:pPr>
      <w:r>
        <w:rPr>
          <w:sz w:val="24"/>
        </w:rPr>
        <w:t xml:space="preserve">обеспечение соблюдения работодателями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доведение до сведения соответствующих органов государственной власти фактов нарушений, действий (бездействия) или злоупотреблений, которые не подпадают под действие трудового законодательства и иных нормативных правовых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355</dc:title>
  <dc:creator>АРБИТРАЖ! · arbi.ru</dc:creator>
  <cp:lastModifiedBy>АРБИТРАЖ!</cp:lastModifiedBy>
  <dcterms:created xsi:type="dcterms:W3CDTF">2026-10-23T11:00:00.404Z</dcterms:created>
</cp:coreProperties>
</file>