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384 ТК РФ</w:t>
      </w:r>
    </w:p>
    <w:p>
      <w:pPr>
        <w:spacing w:after="120"/>
        <w:ind w:firstLine="709"/>
      </w:pPr>
      <w:r>
        <w:rPr>
          <w:sz w:val="24"/>
        </w:rPr>
        <w:t xml:space="preserve">- КТС как орган по разрешению индивидуальных трудовых споров</w:t>
      </w:r>
    </w:p>
    <w:p>
      <w:pPr>
        <w:spacing w:after="120"/>
        <w:ind w:firstLine="709"/>
      </w:pPr>
      <w:r>
        <w:rPr>
          <w:sz w:val="24"/>
        </w:rPr>
        <w:t xml:space="preserve">Комиссии по трудовым спорам образуются по инициативе работников (представительного органа работников) и (или) работодателя (организации, индивидуального предпринимателя) из равного числа представителей работников и работодателя. Работодатель и представительный орган работников, получившие предложение в письменной форме о создании комиссии по трудовым спорам, обязаны в десятидневный срок направить в комиссию своих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Представители работодателя в комиссию по трудовым спорам назначаются руководителем организации, работодателем - индивидуальным предпринимателем. Представители работников в комиссию по трудовым спорам избираются общим собранием (конференцией) работников или делегируются представительным органом работников с последующим утверждением на общем собрании (конференции) работников.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решению общего собрания работников комиссии по трудовым спорам могут быть образованы в структурных подразделениях организации. Эти комиссии образуются и действуют на тех же основаниях, что и комиссии по трудовым спорам организации. В комиссиях по трудовым спорам структурных подразделений организаций могут рассматриваться индивидуальные трудовые споры в пределах полномочий этих подразделений.</w:t>
      </w:r>
    </w:p>
    <w:p>
      <w:pPr>
        <w:spacing w:after="120"/>
        <w:ind w:firstLine="709"/>
      </w:pPr>
      <w:r>
        <w:rPr>
          <w:sz w:val="24"/>
        </w:rPr>
        <w:t xml:space="preserve">Комиссия по трудовым спорам имеет свою печать. Организационно-техническое обеспечение деятельности комиссии по трудовым спорам осуществляется работодателем.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Комиссия по трудовым спорам избирает из своего состава председателя, заместителя председателя и секретаря комиссии.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384</dc:title>
  <dc:creator>АРБИТРАЖ! · arbi.ru</dc:creator>
  <cp:lastModifiedBy>АРБИТРАЖ!</cp:lastModifiedBy>
  <dcterms:created xsi:type="dcterms:W3CDTF">2026-10-23T15:36:46.747Z</dcterms:created>
</cp:coreProperties>
</file>