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395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60. Рассмотрение и разрешение индивидуальных трудовых споров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395 ТК РФ</w:t>
      </w:r>
    </w:p>
    <w:p>
      <w:pPr>
        <w:spacing w:after="120"/>
        <w:ind w:firstLine="709"/>
      </w:pPr>
      <w:r>
        <w:rPr>
          <w:sz w:val="24"/>
        </w:rPr>
        <w:t xml:space="preserve">- Возмещение работнику не полученного им заработка в случае незаконного лишения его возможности трудиться</w:t>
      </w:r>
    </w:p>
    <w:p>
      <w:pPr>
        <w:spacing w:after="120"/>
        <w:ind w:firstLine="709"/>
      </w:pPr>
      <w:r>
        <w:rPr>
          <w:sz w:val="24"/>
        </w:rPr>
        <w:t xml:space="preserve">При признании органом, рассматривающим индивидуальный трудовой спор, денежных требований работника обоснованными они удовлетворяются в полном размере.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395</dc:title>
  <dc:creator>АРБИТРАЖ! · arbi.ru</dc:creator>
  <cp:lastModifiedBy>АРБИТРАЖ!</cp:lastModifiedBy>
  <dcterms:created xsi:type="dcterms:W3CDTF">2026-10-23T10:01:40.615Z</dcterms:created>
</cp:coreProperties>
</file>