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396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60. Рассмотрение и разрешение индивидуальных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396 ТК РФ</w:t>
      </w:r>
    </w:p>
    <w:p>
      <w:pPr>
        <w:spacing w:after="120"/>
        <w:ind w:firstLine="709"/>
      </w:pPr>
      <w:r>
        <w:rPr>
          <w:sz w:val="24"/>
        </w:rPr>
        <w:t xml:space="preserve">- Оформление восстановления работника на работе</w:t>
      </w:r>
    </w:p>
    <w:p>
      <w:pPr>
        <w:spacing w:after="120"/>
        <w:ind w:firstLine="709"/>
      </w:pPr>
      <w:r>
        <w:rPr>
          <w:sz w:val="24"/>
        </w:rPr>
        <w:t xml:space="preserve">- Восстановление на работе работника, ранее выполнявшего эту работу, по решению государственной инспекции труда или суда</w:t>
      </w:r>
    </w:p>
    <w:p>
      <w:pPr>
        <w:spacing w:after="120"/>
        <w:ind w:firstLine="709"/>
      </w:pPr>
      <w:r>
        <w:rPr>
          <w:sz w:val="24"/>
        </w:rPr>
        <w:t xml:space="preserve">- Основание для восстановления работника на работе</w:t>
      </w:r>
    </w:p>
    <w:p>
      <w:pPr>
        <w:spacing w:after="120"/>
        <w:ind w:firstLine="709"/>
      </w:pPr>
      <w:r>
        <w:rPr>
          <w:sz w:val="24"/>
        </w:rPr>
        <w:t xml:space="preserve">Решение о восстановлении на работе незаконно уволенного работника, о восстановлении на прежней работе работника, незаконно переведенного на другую работу, подлежит немедленному исполнению . При задержке работодателем исполнения такого решения орган, принявший решение, выносит определение о выплате работнику за все время задержки исполнения решения среднего заработка или разницы в заработке.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396</dc:title>
  <dc:creator>АРБИТРАЖ! · arbi.ru</dc:creator>
  <cp:lastModifiedBy>АРБИТРАЖ!</cp:lastModifiedBy>
  <dcterms:created xsi:type="dcterms:W3CDTF">2026-10-23T10:59:59.898Z</dcterms:created>
</cp:coreProperties>
</file>