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соответствии со статьей 37 Конституции Российской Федерации признается право работников на забастовку как способ разрешения коллективного трудового спора.</w:t>
      </w:r>
    </w:p>
    <w:p>
      <w:pPr>
        <w:spacing w:after="120"/>
        <w:ind w:firstLine="709"/>
      </w:pPr>
      <w:r>
        <w:rPr>
          <w:sz w:val="24"/>
        </w:rPr>
        <w:t xml:space="preserve">Если примирительные процедуры не привели к разрешению коллективного трудового спора ( статья 406 настоящего Кодекса) либо работодатель (представители работодателя) или работодатели (представители работодателей) не выполняют соглашения, достигнутые сторонами коллективного трудового спора в ходе разрешения этого спора ( статья 408 настоящего Кодекса), или не исполняют решение трудового арбитража, то работники или их представители имеют право приступить к организации забастовки, за исключением случаев, когда в соответствии с частями первой и второй статьи 413 настоящего Кодекса в целях разрешения коллективного трудового спора забастовка не может быть проведена.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Участие в забастовке является добровольным. Никто не может быть принужден к участию или отказу от участия в забастовке.</w:t>
      </w:r>
    </w:p>
    <w:p>
      <w:pPr>
        <w:spacing w:after="120"/>
        <w:ind w:firstLine="709"/>
      </w:pPr>
      <w:r>
        <w:rPr>
          <w:sz w:val="24"/>
        </w:rPr>
        <w:t xml:space="preserve">Лица, принуждающие работников к участию или отказу от участия в забастовке, несут дисциплинарную, административную, уголовную ответственность в порядке, установленном настоящим Кодексом ,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Представители работодателя не вправе организовывать забастовку и принимать в ней участие.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409</dc:title>
  <dc:creator>АРБИТРАЖ! · arbi.ru</dc:creator>
  <cp:lastModifiedBy>АРБИТРАЖ!</cp:lastModifiedBy>
  <dcterms:created xsi:type="dcterms:W3CDTF">2026-10-24T00:19:26.114Z</dcterms:created>
</cp:coreProperties>
</file>