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421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62. Ответственность за нарушение трудового законодательства и иных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20.04.2007 N 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и сроки поэтапного повышения минимального размера оплаты труда до размера, предусмотренного частью первой статьи 133 настоящего Кодекса, устанавливаются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421</dc:title>
  <dc:creator>АРБИТРАЖ! · arbi.ru</dc:creator>
  <cp:lastModifiedBy>АРБИТРАЖ!</cp:lastModifiedBy>
  <dcterms:created xsi:type="dcterms:W3CDTF">2026-10-24T11:14:51.785Z</dcterms:created>
</cp:coreProperties>
</file>