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424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62. Ответственность за нарушение трудового законодательства и иных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Настоящий Кодекс применяется к правоотношениям,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Если правоотношения возникли до введения в действие настоящего Кодекса, то он применяется к тем правам и обязанностям, которые возникнут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30 декабря 2001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197-ФЗ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424</dc:title>
  <dc:creator>АРБИТРАЖ! · arbi.ru</dc:creator>
  <cp:lastModifiedBy>АРБИТРАЖ!</cp:lastModifiedBy>
  <dcterms:created xsi:type="dcterms:W3CDTF">2026-10-24T14:38:33.378Z</dcterms:created>
</cp:coreProperties>
</file>