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1</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1. Уголовно-процессуальное законодательство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Порядок уголовного судопроизводства на территории Российской Федерации устанавливается настоящим Кодексом, основанным на Конституции Российской Федерации.</w:t>
      </w:r>
    </w:p>
    <w:p>
      <w:pPr>
        <w:spacing w:after="120"/>
        <w:ind w:firstLine="709"/>
      </w:pPr>
      <w:r>
        <w:rPr>
          <w:sz w:val="24"/>
        </w:rPr>
        <w:t xml:space="preserve">2. Порядок уголовного судопроизводства, установленный настоящим Кодексом, является обязательным для судов, органов прокуратуры, органов предварительного следствия и органов дознания, а также иных участников уголовного судопроизводства.</w:t>
      </w:r>
    </w:p>
    <w:p>
      <w:pPr>
        <w:spacing w:after="120"/>
        <w:ind w:firstLine="709"/>
      </w:pPr>
      <w:r>
        <w:rPr>
          <w:sz w:val="24"/>
        </w:rPr>
        <w:t xml:space="preserve">3. Общепризнанные принципы и нормы международного права и международные договоры Российской Федерации являются составной частью законодательства Российской Федерации, регулирующего уголовное судопроизводство. Если международным договором Российской Федерации установлены иные правила, чем предусмотренные настоящим Кодексом, то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Конституции Российской Федерации. Такое противоречие может быть установлено в порядке , определенном федеральным конституционным законом.</w:t>
      </w:r>
    </w:p>
    <w:p>
      <w:pPr>
        <w:spacing w:after="120"/>
        <w:ind w:firstLine="709"/>
      </w:pPr>
      <w:r>
        <w:rPr>
          <w:sz w:val="24"/>
        </w:rPr>
        <w:t xml:space="preserve">(в ред. Федерального закона от 08.12.2020 N 419-ФЗ)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1</dc:title>
  <dc:creator>АРБИТРАЖ! · arbi.ru</dc:creator>
  <cp:lastModifiedBy>АРБИТРАЖ!</cp:lastModifiedBy>
  <dcterms:created xsi:type="dcterms:W3CDTF">2026-10-29T02:21:05.602Z</dcterms:created>
</cp:coreProperties>
</file>