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Правосудие по уголовному делу в Российской Федерации осуществляется только судом.</w:t>
      </w:r>
    </w:p>
    <w:p>
      <w:pPr>
        <w:spacing w:after="120"/>
        <w:ind w:firstLine="709"/>
      </w:pPr>
      <w:r>
        <w:rPr>
          <w:sz w:val="24"/>
        </w:rPr>
        <w:t xml:space="preserve">2. Никто не может быть признан виновным в совершении преступления и подвергнут уголовному наказанию иначе как по приговору суда и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Подсудимый не может быть лишен права на рассмотрение его уголовного дела в том суде и тем судьей, к подсудности которых оно отнесено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</dc:title>
  <dc:creator>АРБИТРАЖ! · arbi.ru</dc:creator>
  <cp:lastModifiedBy>АРБИТРАЖ!</cp:lastModifiedBy>
  <dcterms:created xsi:type="dcterms:W3CDTF">2026-10-27T15:55:12.438Z</dcterms:created>
</cp:coreProperties>
</file>