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уголовного судопроизводства запрещаются осуществление действий и принятие решений, унижающих честь участника уголовного судопроизводства, а также обращение, унижающее его человеческое достоинство либо создающее опасность для его жизни и здоровья.</w:t>
      </w:r>
    </w:p>
    <w:p>
      <w:pPr>
        <w:spacing w:after="120"/>
        <w:ind w:firstLine="709"/>
      </w:pPr>
      <w:r>
        <w:rPr>
          <w:sz w:val="24"/>
        </w:rPr>
        <w:t xml:space="preserve">2. Никто из участников уголовного судопроизводства не может подвергаться насилию, пыткам, другому жестокому или унижающему человеческое достоинство обращению.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</dc:title>
  <dc:creator>АРБИТРАЖ! · arbi.ru</dc:creator>
  <cp:lastModifiedBy>АРБИТРАЖ!</cp:lastModifiedBy>
  <dcterms:created xsi:type="dcterms:W3CDTF">2026-10-27T13:32:10.697Z</dcterms:created>
</cp:coreProperties>
</file>