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3. Уголовное преследование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02.11.2013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деяние, предусмотренное главой 23 Уголовного кодекса Российской Федерации, причинило вред интересам исключительно коммерческой или иной организации, не являющейся государственным или муниципальным предприятием либо организацией с участием в уставном (складочном) капитале (паевом фонде) государства или муниципального образования, и не причинило вреда интересам других организаций, а также интересам граждан, общества или государства, то уголовное дело возбуждается по заявлению руководителя данной организации или с его согласия. Причинение вреда интересам организации с участием в уставном (складочном) капитале (паевом фонде) государства или муниципального образования одновременно влечет за собой причинение вреда интересам государства или муниципального образования.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23</dc:title>
  <dc:creator>АРБИТРАЖ! · arbi.ru</dc:creator>
  <cp:lastModifiedBy>АРБИТРАЖ!</cp:lastModifiedBy>
  <dcterms:created xsi:type="dcterms:W3CDTF">2026-10-26T22:52:12.262Z</dcterms:created>
</cp:coreProperties>
</file>